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Обзор: Ответственность за нарушение ст. 187 ГК РФ "Передоверие"</w:t>
      </w:r>
    </w:p>
    <w:p>
      <w:pPr>
        <w:pStyle w:val="0"/>
        <w:jc w:val="both"/>
      </w:pPr>
      <w:r>
        <w:rPr>
          <w:sz w:val="20"/>
        </w:rPr>
        <w:t xml:space="preserve">(КонсультантПлюс, 2025)</w:t>
      </w:r>
    </w:p>
    <w:p>
      <w:pPr>
        <w:pStyle w:val="0"/>
      </w:pPr>
      <w:r>
        <w:rPr>
          <w:sz w:val="20"/>
          <w:b w:val="on"/>
        </w:rPr>
        <w:t xml:space="preserve">Дата</w:t>
      </w:r>
    </w:p>
    <w:p>
      <w:pPr>
        <w:pStyle w:val="0"/>
        <w:jc w:val="both"/>
      </w:pPr>
      <w:r>
        <w:rPr>
          <w:sz w:val="20"/>
        </w:rPr>
        <w:t xml:space="preserve">26.03.2025</w:t>
      </w:r>
    </w:p>
    <w:p>
      <w:pPr>
        <w:pStyle w:val="0"/>
      </w:pPr>
      <w:r>
        <w:rPr>
          <w:sz w:val="20"/>
          <w:b w:val="on"/>
        </w:rPr>
        <w:t xml:space="preserve">Источник публикации</w:t>
      </w:r>
    </w:p>
    <w:p>
      <w:pPr>
        <w:pStyle w:val="0"/>
        <w:jc w:val="both"/>
      </w:pPr>
      <w:r>
        <w:rPr>
          <w:sz w:val="20"/>
        </w:rPr>
        <w:t xml:space="preserve">Подготовлен специалистами АО "Консультант Плюс"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</w:rPr>
              <w:t xml:space="preserve">КонсультантПлюс | </w:t>
            </w:r>
            <w:r>
              <w:rPr>
                <w:sz w:val="20"/>
                <w:color w:val="392c69"/>
                <w:b w:val="on"/>
              </w:rPr>
              <w:t xml:space="preserve">Актуально на 26.03.2025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460" w:line-rule="auto"/>
      </w:pPr>
      <w:r>
        <w:rPr>
          <w:sz w:val="36"/>
          <w:b w:val="on"/>
        </w:rPr>
        <w:t xml:space="preserve">Ответственность за нарушение </w:t>
      </w:r>
      <w:r>
        <w:rPr>
          <w:sz w:val="36"/>
          <w:b w:val="on"/>
        </w:rPr>
        <w:t xml:space="preserve">ст. 187</w:t>
      </w:r>
      <w:r>
        <w:rPr>
          <w:sz w:val="36"/>
          <w:b w:val="on"/>
        </w:rPr>
        <w:t xml:space="preserve"> ГК РФ</w:t>
        <w:br/>
        <w:t xml:space="preserve">"Передоверие"</w:t>
      </w:r>
    </w:p>
    <w:p>
      <w:pPr>
        <w:pStyle w:val="0"/>
        <w:jc w:val="both"/>
      </w:pPr>
      <w:r>
        <w:rPr>
          <w:sz w:val="36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1"/>
        <w:gridCol w:w="4535"/>
        <w:gridCol w:w="2437"/>
      </w:tblGrid>
      <w:tr>
        <w:tc>
          <w:tcPr>
            <w:tcW w:w="238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  <w:b w:val="on"/>
              </w:rPr>
              <w:t xml:space="preserve">Нарушение</w:t>
            </w:r>
          </w:p>
        </w:tc>
        <w:tc>
          <w:tcPr>
            <w:tcW w:w="453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  <w:b w:val="on"/>
              </w:rPr>
              <w:t xml:space="preserve">Последствия нарушения</w:t>
            </w:r>
          </w:p>
        </w:tc>
        <w:tc>
          <w:tcPr>
            <w:tcW w:w="24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  <w:b w:val="on"/>
              </w:rPr>
              <w:t xml:space="preserve">Ссылки</w:t>
            </w:r>
          </w:p>
        </w:tc>
      </w:tr>
      <w:tr>
        <w:tc>
          <w:tcPr>
            <w:tcW w:w="2381" w:type="dxa"/>
            <w:vMerge w:val="restart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Передоверие в отсутствие:</w:t>
            </w:r>
          </w:p>
          <w:p>
            <w:pPr>
              <w:pStyle w:val="0"/>
              <w:ind w:firstLine="-227" w:left="540"/>
              <w:numPr>
                <w:ilvl w:val="0"/>
                <w:numId w:val="1"/>
              </w:numPr>
            </w:pPr>
            <w:r>
              <w:rPr>
                <w:sz w:val="20"/>
              </w:rPr>
              <w:t xml:space="preserve">полномочий и последующего одобрения представляемым</w:t>
            </w:r>
          </w:p>
          <w:p>
            <w:pPr>
              <w:pStyle w:val="0"/>
              <w:ind w:firstLine="-227" w:left="540"/>
              <w:numPr>
                <w:ilvl w:val="0"/>
                <w:numId w:val="1"/>
              </w:numPr>
            </w:pPr>
            <w:r>
              <w:rPr>
                <w:sz w:val="20"/>
              </w:rPr>
              <w:t xml:space="preserve">обстоятельств для охраны интересов доверителя, если доверенность не запрещает передоверие</w:t>
            </w:r>
          </w:p>
          <w:p>
            <w:pPr>
              <w:pStyle w:val="0"/>
              <w:ind w:left="283"/>
            </w:pPr>
            <w:r>
              <w:rPr>
                <w:sz w:val="20"/>
              </w:rPr>
              <w:t xml:space="preserve">(за исключением передоверия, совершенного представителем юрлица с выходом за пределы ограничений)</w:t>
            </w:r>
          </w:p>
        </w:tc>
        <w:tc>
          <w:tcPr>
            <w:tcW w:w="4535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признание сделки заключенной от имени и в интересах совершившего ее лица</w:t>
            </w:r>
          </w:p>
        </w:tc>
        <w:tc>
          <w:tcPr>
            <w:tcW w:w="2437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п. 1 ст. 183</w:t>
            </w:r>
            <w:r>
              <w:rPr>
                <w:sz w:val="20"/>
              </w:rPr>
              <w:t xml:space="preserve"> ГК РФ</w:t>
            </w:r>
          </w:p>
          <w:p>
            <w:pPr>
              <w:pStyle w:val="0"/>
              <w:ind w:left="283"/>
            </w:pPr>
            <w:r>
              <w:rPr>
                <w:sz w:val="20"/>
              </w:rPr>
              <w:t xml:space="preserve">п. 122</w:t>
            </w:r>
            <w:r>
              <w:rPr>
                <w:sz w:val="20"/>
              </w:rPr>
              <w:t xml:space="preserve"> ПП ВС РФ от 23.06.2015 N 25</w:t>
            </w:r>
          </w:p>
        </w:tc>
      </w:tr>
      <w:tr>
        <w:tc>
          <w:tcPr>
            <w:vMerge w:val="continue"/>
          </w:tcPr>
          <w:p/>
        </w:tc>
        <w:tc>
          <w:tcPr>
            <w:tcW w:w="4535" w:type="dxa"/>
            <w:vAlign w:val="center"/>
          </w:tcPr>
          <w:p>
            <w:pPr>
              <w:pStyle w:val="0"/>
              <w:ind w:firstLine="-227" w:left="540"/>
              <w:numPr>
                <w:ilvl w:val="0"/>
                <w:numId w:val="2"/>
              </w:numPr>
            </w:pPr>
            <w:r>
              <w:rPr>
                <w:sz w:val="20"/>
              </w:rPr>
              <w:t xml:space="preserve">отказ от сделки другой стороной</w:t>
            </w:r>
          </w:p>
          <w:p>
            <w:pPr>
              <w:pStyle w:val="0"/>
              <w:ind w:firstLine="-227" w:left="540"/>
              <w:numPr>
                <w:ilvl w:val="0"/>
                <w:numId w:val="2"/>
              </w:numPr>
            </w:pPr>
            <w:r>
              <w:rPr>
                <w:sz w:val="20"/>
              </w:rPr>
              <w:t xml:space="preserve">возмещение убытков (если при совершении сделки другая сторона не знала или не должна была знать об отсутствии полномочий либо об их превышении)</w:t>
            </w:r>
          </w:p>
        </w:tc>
        <w:tc>
          <w:tcPr>
            <w:tcW w:w="2437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п. 3 ст. 183</w:t>
            </w:r>
            <w:r>
              <w:rPr>
                <w:sz w:val="20"/>
              </w:rPr>
              <w:t xml:space="preserve"> ГК РФ</w:t>
            </w:r>
          </w:p>
          <w:p>
            <w:pPr>
              <w:pStyle w:val="0"/>
              <w:ind w:left="283"/>
            </w:pPr>
            <w:r>
              <w:rPr>
                <w:sz w:val="20"/>
              </w:rPr>
              <w:t xml:space="preserve">ст. 15</w:t>
            </w:r>
            <w:r>
              <w:rPr>
                <w:sz w:val="20"/>
              </w:rPr>
              <w:t xml:space="preserve"> ГК РФ</w:t>
            </w:r>
          </w:p>
          <w:p>
            <w:pPr>
              <w:pStyle w:val="0"/>
              <w:ind w:left="283"/>
            </w:pPr>
            <w:r>
              <w:rPr>
                <w:sz w:val="20"/>
              </w:rPr>
              <w:t xml:space="preserve">ст. 393</w:t>
            </w:r>
            <w:r>
              <w:rPr>
                <w:sz w:val="20"/>
              </w:rPr>
              <w:t xml:space="preserve"> ГК РФ</w:t>
            </w:r>
          </w:p>
        </w:tc>
      </w:tr>
      <w:tr>
        <w:tc>
          <w:tcPr>
            <w:vMerge w:val="continue"/>
          </w:tcPr>
          <w:p/>
        </w:tc>
        <w:tc>
          <w:tcPr>
            <w:tcW w:w="4535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возмещение морального вреда (при нарушении личных неимущественных прав или посягательстве на нематериальные блага)</w:t>
            </w:r>
          </w:p>
        </w:tc>
        <w:tc>
          <w:tcPr>
            <w:tcW w:w="2437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ст. 151</w:t>
            </w:r>
            <w:r>
              <w:rPr>
                <w:sz w:val="20"/>
              </w:rPr>
              <w:t xml:space="preserve"> ГК РФ</w:t>
            </w:r>
          </w:p>
        </w:tc>
      </w:tr>
      <w:tr>
        <w:tc>
          <w:tcPr>
            <w:tcW w:w="2381" w:type="dxa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Совершение представителем юрлица передоверия с выходом за пределы ограничений</w:t>
            </w:r>
          </w:p>
        </w:tc>
        <w:tc>
          <w:tcPr>
            <w:tcW w:w="4535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признание сделки недействительной, применение последствий недействительности</w:t>
            </w:r>
          </w:p>
        </w:tc>
        <w:tc>
          <w:tcPr>
            <w:tcW w:w="2437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п. 1 ст. 174</w:t>
            </w:r>
            <w:r>
              <w:rPr>
                <w:sz w:val="20"/>
              </w:rPr>
              <w:t xml:space="preserve"> ГК РФ</w:t>
            </w:r>
          </w:p>
          <w:p>
            <w:pPr>
              <w:pStyle w:val="0"/>
              <w:ind w:left="283"/>
            </w:pPr>
            <w:r>
              <w:rPr>
                <w:sz w:val="20"/>
              </w:rPr>
              <w:t xml:space="preserve">ст. 168</w:t>
            </w:r>
            <w:r>
              <w:rPr>
                <w:sz w:val="20"/>
              </w:rPr>
              <w:t xml:space="preserve"> ГК РФ</w:t>
            </w:r>
          </w:p>
          <w:p>
            <w:pPr>
              <w:pStyle w:val="0"/>
              <w:ind w:left="283"/>
            </w:pPr>
            <w:r>
              <w:rPr>
                <w:sz w:val="20"/>
              </w:rPr>
              <w:t xml:space="preserve">п. 122</w:t>
            </w:r>
            <w:r>
              <w:rPr>
                <w:sz w:val="20"/>
              </w:rPr>
              <w:t xml:space="preserve"> ПП ВС РФ от 23.06.2015 N 25</w:t>
            </w:r>
          </w:p>
          <w:p>
            <w:pPr>
              <w:pStyle w:val="0"/>
              <w:ind w:left="283"/>
            </w:pPr>
            <w:r>
              <w:rPr>
                <w:sz w:val="20"/>
              </w:rPr>
              <w:t xml:space="preserve">п. 2</w:t>
            </w:r>
            <w:r>
              <w:rPr>
                <w:sz w:val="20"/>
              </w:rPr>
              <w:t xml:space="preserve"> Информационного письма Президиума ВАС РФ от 23.10.2000 N 57</w:t>
            </w:r>
          </w:p>
          <w:p>
            <w:pPr>
              <w:pStyle w:val="0"/>
              <w:ind w:left="283"/>
            </w:pPr>
            <w:r>
              <w:rPr>
                <w:sz w:val="20"/>
              </w:rPr>
              <w:t xml:space="preserve">п. 1 ст. 167</w:t>
            </w:r>
            <w:r>
              <w:rPr>
                <w:sz w:val="20"/>
              </w:rPr>
              <w:t xml:space="preserve"> ГК РФ</w:t>
            </w:r>
          </w:p>
        </w:tc>
      </w:tr>
      <w:tr>
        <w:tc>
          <w:tcPr>
            <w:tcW w:w="2381" w:type="dxa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Срок действия доверенности, выданной в порядке передоверия, превышает срок действия первоначальной доверенности</w:t>
            </w:r>
          </w:p>
        </w:tc>
        <w:tc>
          <w:tcPr>
            <w:tcW w:w="4535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передоверие теряет силу с прекращением доверенности</w:t>
            </w:r>
          </w:p>
        </w:tc>
        <w:tc>
          <w:tcPr>
            <w:tcW w:w="2437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п. 3 ст. 188</w:t>
            </w:r>
            <w:r>
              <w:rPr>
                <w:sz w:val="20"/>
              </w:rPr>
              <w:t xml:space="preserve"> ГК РФ</w:t>
            </w:r>
          </w:p>
        </w:tc>
      </w:tr>
      <w:tr>
        <w:tc>
          <w:tcPr>
            <w:tcW w:w="2381" w:type="dxa"/>
            <w:vMerge w:val="restart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Неизвещение лица, выдавшего доверенность, о передоверии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left="283"/>
            </w:pPr>
            <w:r>
              <w:rPr>
                <w:sz w:val="20"/>
              </w:rPr>
              <w:t xml:space="preserve">Несообщение лицу, выдавшему доверенность, сведений о лице, которому переданы полномочия</w:t>
            </w:r>
          </w:p>
        </w:tc>
        <w:tc>
          <w:tcPr>
            <w:tcW w:w="4535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ответственность за действия лица, которому переданы полномочия, как за свои собственные</w:t>
            </w:r>
          </w:p>
        </w:tc>
        <w:tc>
          <w:tcPr>
            <w:tcW w:w="2437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п. 2 ст. 187</w:t>
            </w:r>
            <w:r>
              <w:rPr>
                <w:sz w:val="20"/>
              </w:rPr>
              <w:t xml:space="preserve"> ГК РФ</w:t>
            </w:r>
          </w:p>
        </w:tc>
      </w:tr>
      <w:tr>
        <w:tc>
          <w:tcPr>
            <w:vMerge w:val="continue"/>
          </w:tcPr>
          <w:p/>
        </w:tc>
        <w:tc>
          <w:tcPr>
            <w:tcW w:w="4535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возмещение морального вреда</w:t>
            </w:r>
          </w:p>
          <w:p>
            <w:pPr>
              <w:pStyle w:val="0"/>
              <w:ind w:left="283"/>
            </w:pPr>
            <w:r>
              <w:rPr>
                <w:sz w:val="20"/>
              </w:rPr>
              <w:t xml:space="preserve">(при нарушении личных неимущественных прав или посягательстве на нематериальные блага)</w:t>
            </w:r>
          </w:p>
        </w:tc>
        <w:tc>
          <w:tcPr>
            <w:tcW w:w="2437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ст. 151</w:t>
            </w:r>
            <w:r>
              <w:rPr>
                <w:sz w:val="20"/>
              </w:rPr>
              <w:t xml:space="preserve"> ГК РФ</w:t>
            </w:r>
          </w:p>
        </w:tc>
      </w:tr>
      <w:tr>
        <w:tc>
          <w:tcPr>
            <w:tcW w:w="2381" w:type="dxa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Отсутствие нотариального удостоверения доверенности, выдаваемой в порядке передоверия</w:t>
            </w:r>
          </w:p>
          <w:p>
            <w:pPr>
              <w:pStyle w:val="0"/>
              <w:ind w:left="283"/>
            </w:pPr>
            <w:r>
              <w:rPr>
                <w:sz w:val="20"/>
              </w:rPr>
              <w:t xml:space="preserve">(за исключением:</w:t>
            </w:r>
          </w:p>
          <w:p>
            <w:pPr>
              <w:pStyle w:val="0"/>
              <w:ind w:firstLine="-227" w:left="540"/>
              <w:numPr>
                <w:ilvl w:val="0"/>
                <w:numId w:val="3"/>
              </w:numPr>
            </w:pPr>
            <w:r>
              <w:rPr>
                <w:sz w:val="20"/>
              </w:rPr>
              <w:t xml:space="preserve">случаев, указанных в </w:t>
            </w:r>
            <w:r>
              <w:rPr>
                <w:sz w:val="20"/>
              </w:rPr>
              <w:t xml:space="preserve">абз. 2 ч. 3 ст. 187</w:t>
            </w:r>
            <w:r>
              <w:rPr>
                <w:sz w:val="20"/>
              </w:rPr>
              <w:t xml:space="preserve"> ГК РФ</w:t>
            </w:r>
          </w:p>
          <w:p>
            <w:pPr>
              <w:pStyle w:val="0"/>
              <w:ind w:firstLine="-227" w:left="540"/>
              <w:numPr>
                <w:ilvl w:val="0"/>
                <w:numId w:val="3"/>
              </w:numPr>
            </w:pPr>
            <w:r>
              <w:rPr>
                <w:sz w:val="20"/>
              </w:rPr>
              <w:t xml:space="preserve">передоверия полномочий на представление интересов в суде - </w:t>
            </w:r>
            <w:r>
              <w:rPr>
                <w:sz w:val="20"/>
              </w:rPr>
              <w:t xml:space="preserve">Обзор</w:t>
            </w:r>
            <w:r>
              <w:rPr>
                <w:sz w:val="20"/>
              </w:rPr>
              <w:t xml:space="preserve"> судебной практики ВС РФ N 2 (2015))</w:t>
            </w:r>
          </w:p>
        </w:tc>
        <w:tc>
          <w:tcPr>
            <w:tcW w:w="4535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ничтожность доверенности, применение последствий недействительности</w:t>
            </w:r>
          </w:p>
        </w:tc>
        <w:tc>
          <w:tcPr>
            <w:tcW w:w="2437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п. 3 ст. 163</w:t>
            </w:r>
            <w:r>
              <w:rPr>
                <w:sz w:val="20"/>
              </w:rPr>
              <w:t xml:space="preserve"> ГК РФ</w:t>
            </w:r>
          </w:p>
          <w:p>
            <w:pPr>
              <w:pStyle w:val="0"/>
              <w:ind w:left="283"/>
            </w:pPr>
            <w:r>
              <w:rPr>
                <w:sz w:val="20"/>
              </w:rPr>
              <w:t xml:space="preserve">п. 1 ст. 167</w:t>
            </w:r>
            <w:r>
              <w:rPr>
                <w:sz w:val="20"/>
              </w:rPr>
              <w:t xml:space="preserve"> ГК РФ</w:t>
            </w:r>
          </w:p>
        </w:tc>
      </w:tr>
      <w:tr>
        <w:tc>
          <w:tcPr>
            <w:tcW w:w="2381" w:type="dxa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Передоверие в случаях, запрещенных законом (</w:t>
            </w:r>
            <w:r>
              <w:rPr>
                <w:sz w:val="20"/>
              </w:rPr>
              <w:t xml:space="preserve">п. п. 5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7 ст. 187</w:t>
            </w:r>
            <w:r>
              <w:rPr>
                <w:sz w:val="20"/>
              </w:rPr>
              <w:t xml:space="preserve"> ГК РФ)</w:t>
            </w:r>
          </w:p>
        </w:tc>
        <w:tc>
          <w:tcPr>
            <w:tcW w:w="4535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признание сделки недействительной, применение последствий недействительности</w:t>
            </w:r>
          </w:p>
        </w:tc>
        <w:tc>
          <w:tcPr>
            <w:tcW w:w="2437" w:type="dxa"/>
            <w:vAlign w:val="center"/>
          </w:tcPr>
          <w:p>
            <w:pPr>
              <w:pStyle w:val="0"/>
              <w:ind w:left="283"/>
            </w:pPr>
            <w:r>
              <w:rPr>
                <w:sz w:val="20"/>
              </w:rPr>
              <w:t xml:space="preserve">ст. 168</w:t>
            </w:r>
            <w:r>
              <w:rPr>
                <w:sz w:val="20"/>
              </w:rPr>
              <w:t xml:space="preserve"> ГК РФ</w:t>
            </w:r>
          </w:p>
          <w:p>
            <w:pPr>
              <w:pStyle w:val="0"/>
              <w:ind w:left="283"/>
            </w:pPr>
            <w:r>
              <w:rPr>
                <w:sz w:val="20"/>
              </w:rPr>
              <w:t xml:space="preserve">п. 1 ст. 167</w:t>
            </w:r>
            <w:r>
              <w:rPr>
                <w:sz w:val="20"/>
              </w:rPr>
              <w:t xml:space="preserve"> ГК РФ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Обзор: Ответственность за нарушение ст. 187 ГК РФ "Передоверие"</w:t>
            <w:br/>
            <w:t>(КонсультантПлюс, 2025)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27.03.2025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1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2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3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numbering" Target="numbering.xml"/>
	<Relationship Id="rId3" Type="http://schemas.openxmlformats.org/officeDocument/2006/relationships/header" Target="header1.xml"/>
	<Relationship Id="rId4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Обзор: Ответственность за нарушение ст. 187 ГК РФ "Передоверие"
(КонсультантПлюс, 2025)</dc:title>
  <dcterms:created xsi:type="dcterms:W3CDTF">2025-03-27T03:56:02Z</dcterms:created>
</cp:coreProperties>
</file>